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FD" w:rsidRDefault="003B7D87" w:rsidP="00A84F41">
      <w:pPr>
        <w:jc w:val="center"/>
      </w:pPr>
      <w:bookmarkStart w:id="0" w:name="_GoBack"/>
      <w:bookmarkEnd w:id="0"/>
      <w:r>
        <w:t xml:space="preserve">Emergency </w:t>
      </w:r>
      <w:r w:rsidR="00BD79FD">
        <w:t>Guide to MLA 8</w:t>
      </w:r>
    </w:p>
    <w:p w:rsidR="005A5482" w:rsidRDefault="005A5482" w:rsidP="005A5482">
      <w:r>
        <w:t>MLA 8 is much simpler than its predecessors.  It has little information on</w:t>
      </w:r>
      <w:r w:rsidR="003B7D87">
        <w:t xml:space="preserve"> page layout, margins</w:t>
      </w:r>
      <w:r w:rsidR="00C92C36">
        <w:t xml:space="preserve">, fonts, headings, etc.  Those are </w:t>
      </w:r>
      <w:r w:rsidR="003B7D87">
        <w:t>the easy part</w:t>
      </w:r>
      <w:r>
        <w:t xml:space="preserve">, and they are addressed </w:t>
      </w:r>
      <w:r w:rsidR="007A51B4">
        <w:t xml:space="preserve">in </w:t>
      </w:r>
      <w:r>
        <w:t>our RBC documents</w:t>
      </w:r>
      <w:r w:rsidR="003B7D87">
        <w:t xml:space="preserve">.  </w:t>
      </w:r>
    </w:p>
    <w:p w:rsidR="00E03D4D" w:rsidRDefault="005A5482" w:rsidP="005A5482">
      <w:r>
        <w:t>What follows is the critical part.  Don’t get lost in details.</w:t>
      </w:r>
    </w:p>
    <w:p w:rsidR="00BD79FD" w:rsidRDefault="00BD79FD">
      <w:r>
        <w:t>2 essentials:</w:t>
      </w:r>
    </w:p>
    <w:p w:rsidR="00BD79FD" w:rsidRDefault="00BD79FD" w:rsidP="00BD79FD">
      <w:pPr>
        <w:pStyle w:val="ListParagraph"/>
        <w:numPr>
          <w:ilvl w:val="0"/>
          <w:numId w:val="1"/>
        </w:numPr>
      </w:pPr>
      <w:r>
        <w:t>A works cited page.</w:t>
      </w:r>
    </w:p>
    <w:p w:rsidR="00BD79FD" w:rsidRDefault="00BD79FD" w:rsidP="00BD79FD">
      <w:pPr>
        <w:pStyle w:val="ListParagraph"/>
        <w:numPr>
          <w:ilvl w:val="0"/>
          <w:numId w:val="1"/>
        </w:numPr>
      </w:pPr>
      <w:r>
        <w:t>In-text citation.</w:t>
      </w:r>
    </w:p>
    <w:p w:rsidR="00701125" w:rsidRDefault="00701125" w:rsidP="00701125">
      <w:r>
        <w:t>2 Goals:</w:t>
      </w:r>
    </w:p>
    <w:p w:rsidR="00701125" w:rsidRDefault="00701125" w:rsidP="007976FD">
      <w:pPr>
        <w:pStyle w:val="ListParagraph"/>
        <w:numPr>
          <w:ilvl w:val="0"/>
          <w:numId w:val="5"/>
        </w:numPr>
      </w:pPr>
      <w:r>
        <w:t>Attribution—</w:t>
      </w:r>
      <w:r w:rsidR="007976FD">
        <w:t xml:space="preserve"> to cite authority, give credit, </w:t>
      </w:r>
      <w:r w:rsidR="00C92C36">
        <w:t xml:space="preserve">and eliminate </w:t>
      </w:r>
      <w:r>
        <w:t>plagiarism.</w:t>
      </w:r>
    </w:p>
    <w:p w:rsidR="00701125" w:rsidRDefault="00701125" w:rsidP="00701125">
      <w:pPr>
        <w:pStyle w:val="ListParagraph"/>
        <w:numPr>
          <w:ilvl w:val="0"/>
          <w:numId w:val="5"/>
        </w:numPr>
      </w:pPr>
      <w:r>
        <w:t xml:space="preserve">Documentation—to allow your reader to find your sources. </w:t>
      </w:r>
    </w:p>
    <w:p w:rsidR="00BD79FD" w:rsidRPr="005A5482" w:rsidRDefault="00BD79FD" w:rsidP="00BD79FD">
      <w:pPr>
        <w:rPr>
          <w:b/>
          <w:bCs/>
          <w:smallCaps/>
        </w:rPr>
      </w:pPr>
      <w:r w:rsidRPr="005A5482">
        <w:rPr>
          <w:b/>
          <w:bCs/>
          <w:smallCaps/>
        </w:rPr>
        <w:t>Work Cited</w:t>
      </w:r>
      <w:r w:rsidR="007976FD" w:rsidRPr="005A5482">
        <w:rPr>
          <w:b/>
          <w:bCs/>
          <w:smallCaps/>
        </w:rPr>
        <w:t xml:space="preserve"> Page</w:t>
      </w:r>
      <w:r w:rsidRPr="005A5482">
        <w:rPr>
          <w:b/>
          <w:bCs/>
          <w:smallCaps/>
        </w:rPr>
        <w:t>:</w:t>
      </w:r>
    </w:p>
    <w:p w:rsidR="00BD79FD" w:rsidRDefault="00BD79FD" w:rsidP="00BD79FD">
      <w:r>
        <w:t>Core elements in order.  You may not have all of this information.  Each element followed by the punctuation indicated below.</w:t>
      </w:r>
    </w:p>
    <w:p w:rsidR="00BD79FD" w:rsidRDefault="00BD79FD" w:rsidP="002A262E">
      <w:pPr>
        <w:pStyle w:val="ListParagraph"/>
        <w:numPr>
          <w:ilvl w:val="0"/>
          <w:numId w:val="2"/>
        </w:numPr>
      </w:pPr>
      <w:r>
        <w:t>Author .</w:t>
      </w:r>
    </w:p>
    <w:p w:rsidR="00BD79FD" w:rsidRDefault="00BD79FD" w:rsidP="002A262E">
      <w:pPr>
        <w:pStyle w:val="ListParagraph"/>
        <w:numPr>
          <w:ilvl w:val="0"/>
          <w:numId w:val="2"/>
        </w:numPr>
      </w:pPr>
      <w:r>
        <w:t>Title of Source.</w:t>
      </w:r>
    </w:p>
    <w:p w:rsidR="00BD79FD" w:rsidRDefault="00BD79FD" w:rsidP="002A262E">
      <w:pPr>
        <w:pStyle w:val="ListParagraph"/>
        <w:numPr>
          <w:ilvl w:val="0"/>
          <w:numId w:val="2"/>
        </w:numPr>
      </w:pPr>
      <w:r>
        <w:t>Title of Container,</w:t>
      </w:r>
    </w:p>
    <w:p w:rsidR="00BD79FD" w:rsidRDefault="00BD79FD" w:rsidP="002A262E">
      <w:pPr>
        <w:pStyle w:val="ListParagraph"/>
        <w:numPr>
          <w:ilvl w:val="2"/>
          <w:numId w:val="2"/>
        </w:numPr>
      </w:pPr>
      <w:r>
        <w:t>What is this? It may be a book that is a collection of essays, stories, etc.,</w:t>
      </w:r>
      <w:r>
        <w:tab/>
        <w:t xml:space="preserve">a </w:t>
      </w:r>
      <w:r w:rsidR="006908DB">
        <w:t xml:space="preserve">periodical </w:t>
      </w:r>
      <w:r>
        <w:t>with articles. A television series, a Web site.</w:t>
      </w:r>
    </w:p>
    <w:p w:rsidR="00BD79FD" w:rsidRDefault="00BD79FD" w:rsidP="002A262E">
      <w:pPr>
        <w:pStyle w:val="ListParagraph"/>
        <w:numPr>
          <w:ilvl w:val="0"/>
          <w:numId w:val="2"/>
        </w:numPr>
      </w:pPr>
      <w:r>
        <w:t>Other contributors,</w:t>
      </w:r>
    </w:p>
    <w:p w:rsidR="00BD79FD" w:rsidRDefault="00BD79FD" w:rsidP="002A262E">
      <w:pPr>
        <w:pStyle w:val="ListParagraph"/>
        <w:numPr>
          <w:ilvl w:val="0"/>
          <w:numId w:val="2"/>
        </w:numPr>
      </w:pPr>
      <w:r>
        <w:t>Version,</w:t>
      </w:r>
    </w:p>
    <w:p w:rsidR="00BD79FD" w:rsidRDefault="00BD79FD" w:rsidP="002A262E">
      <w:pPr>
        <w:pStyle w:val="ListParagraph"/>
        <w:numPr>
          <w:ilvl w:val="0"/>
          <w:numId w:val="2"/>
        </w:numPr>
      </w:pPr>
      <w:r>
        <w:t>Number,</w:t>
      </w:r>
    </w:p>
    <w:p w:rsidR="00BD79FD" w:rsidRDefault="00BD79FD" w:rsidP="002A262E">
      <w:pPr>
        <w:pStyle w:val="ListParagraph"/>
        <w:numPr>
          <w:ilvl w:val="0"/>
          <w:numId w:val="2"/>
        </w:numPr>
      </w:pPr>
      <w:r>
        <w:t>Publisher,</w:t>
      </w:r>
    </w:p>
    <w:p w:rsidR="00BD79FD" w:rsidRDefault="00BD79FD" w:rsidP="002A262E">
      <w:pPr>
        <w:pStyle w:val="ListParagraph"/>
        <w:numPr>
          <w:ilvl w:val="0"/>
          <w:numId w:val="2"/>
        </w:numPr>
      </w:pPr>
      <w:r>
        <w:t>Publication date,</w:t>
      </w:r>
    </w:p>
    <w:p w:rsidR="00BD79FD" w:rsidRDefault="00BD79FD" w:rsidP="002A262E">
      <w:pPr>
        <w:pStyle w:val="ListParagraph"/>
        <w:numPr>
          <w:ilvl w:val="0"/>
          <w:numId w:val="2"/>
        </w:numPr>
      </w:pPr>
      <w:r>
        <w:t>Location.</w:t>
      </w:r>
    </w:p>
    <w:p w:rsidR="00926672" w:rsidRDefault="003B7D87" w:rsidP="002A262E">
      <w:pPr>
        <w:pStyle w:val="ListParagraph"/>
        <w:numPr>
          <w:ilvl w:val="2"/>
          <w:numId w:val="2"/>
        </w:numPr>
      </w:pPr>
      <w:r>
        <w:t>What is this? P</w:t>
      </w:r>
      <w:r w:rsidR="00926672">
        <w:t>rint sourc</w:t>
      </w:r>
      <w:r>
        <w:t xml:space="preserve">es it is the page number(s); </w:t>
      </w:r>
      <w:r w:rsidR="00926672">
        <w:t>online sources it is the URL.</w:t>
      </w:r>
    </w:p>
    <w:p w:rsidR="00926672" w:rsidRDefault="00926672" w:rsidP="00BD79FD">
      <w:r>
        <w:t>Example</w:t>
      </w:r>
      <w:r w:rsidR="00110FD5">
        <w:t>s</w:t>
      </w:r>
      <w:r>
        <w:t>:</w:t>
      </w:r>
    </w:p>
    <w:p w:rsidR="00926672" w:rsidRDefault="002A262E" w:rsidP="00825019">
      <w:pPr>
        <w:ind w:left="720" w:hanging="720"/>
      </w:pPr>
      <w:r>
        <w:t>Keil, C. F.  “</w:t>
      </w:r>
      <w:r w:rsidRPr="002A262E">
        <w:t>The Prophecies of Jeremiah</w:t>
      </w:r>
      <w:r w:rsidRPr="002A262E">
        <w:rPr>
          <w:i/>
          <w:iCs/>
        </w:rPr>
        <w:t>.</w:t>
      </w:r>
      <w:r>
        <w:rPr>
          <w:i/>
          <w:iCs/>
        </w:rPr>
        <w:t xml:space="preserve">” </w:t>
      </w:r>
      <w:r w:rsidRPr="002A262E">
        <w:rPr>
          <w:i/>
          <w:iCs/>
        </w:rPr>
        <w:t xml:space="preserve"> Commentaries on the Old Testament</w:t>
      </w:r>
      <w:r>
        <w:t>, translated by David Patrick</w:t>
      </w:r>
      <w:r w:rsidR="004B2798">
        <w:t>, vol. 1,</w:t>
      </w:r>
      <w:r>
        <w:t xml:space="preserve"> Eerdmans, 1956. p. 119.</w:t>
      </w:r>
    </w:p>
    <w:p w:rsidR="00367759" w:rsidRDefault="00367759" w:rsidP="00825019">
      <w:pPr>
        <w:ind w:left="720" w:hanging="720"/>
      </w:pPr>
      <w:r>
        <w:t xml:space="preserve">Augustine. “The Nephilim Are a Race of Giants.” </w:t>
      </w:r>
      <w:r w:rsidRPr="00367759">
        <w:rPr>
          <w:i/>
          <w:iCs/>
        </w:rPr>
        <w:t>Ancient Christian Commentary on Scripture</w:t>
      </w:r>
      <w:r>
        <w:t>, Old Testament 1 Genesis 1-11, edited by Andrew Louth,  InterVarsity, 2001.</w:t>
      </w:r>
      <w:r w:rsidR="00EC0514">
        <w:t xml:space="preserve"> p. 125.</w:t>
      </w:r>
    </w:p>
    <w:p w:rsidR="00EC0514" w:rsidRDefault="00EC0514" w:rsidP="00825019">
      <w:pPr>
        <w:ind w:left="720" w:hanging="720"/>
      </w:pPr>
      <w:r>
        <w:t xml:space="preserve">“Hasidic Movement: a history.” </w:t>
      </w:r>
      <w:r w:rsidRPr="006908DB">
        <w:rPr>
          <w:i/>
          <w:iCs/>
        </w:rPr>
        <w:t>M</w:t>
      </w:r>
      <w:r w:rsidR="006908DB" w:rsidRPr="006908DB">
        <w:rPr>
          <w:i/>
          <w:iCs/>
        </w:rPr>
        <w:t>y Jewish Learning,</w:t>
      </w:r>
      <w:r w:rsidR="009A20D0">
        <w:t xml:space="preserve"> </w:t>
      </w:r>
      <w:hyperlink r:id="rId5" w:history="1">
        <w:r w:rsidR="009A20D0" w:rsidRPr="006F1031">
          <w:rPr>
            <w:rStyle w:val="Hyperlink"/>
            <w:rFonts w:cs="Arial"/>
          </w:rPr>
          <w:t>https://www.myjewishlearning.com/article/hasidic-movement-a-history/</w:t>
        </w:r>
      </w:hyperlink>
    </w:p>
    <w:p w:rsidR="009A20D0" w:rsidRDefault="009A20D0" w:rsidP="00825019">
      <w:pPr>
        <w:ind w:left="720" w:hanging="720"/>
      </w:pPr>
      <w:r>
        <w:lastRenderedPageBreak/>
        <w:t xml:space="preserve">Dilbeck, D.H. “The Radical Faith of Frederick Douglass.” </w:t>
      </w:r>
      <w:r w:rsidRPr="009A20D0">
        <w:rPr>
          <w:i/>
          <w:iCs/>
        </w:rPr>
        <w:t>Christianity Today</w:t>
      </w:r>
      <w:r w:rsidR="00825019">
        <w:rPr>
          <w:i/>
          <w:iCs/>
        </w:rPr>
        <w:t>.</w:t>
      </w:r>
      <w:r w:rsidR="00A34EF5">
        <w:rPr>
          <w:i/>
          <w:iCs/>
        </w:rPr>
        <w:t xml:space="preserve"> </w:t>
      </w:r>
      <w:r>
        <w:t>Vol. 62, no. 1</w:t>
      </w:r>
      <w:r w:rsidR="00825019">
        <w:t xml:space="preserve">, January /February 2018, pp. </w:t>
      </w:r>
      <w:r w:rsidRPr="00825019">
        <w:t>46-50</w:t>
      </w:r>
      <w:r w:rsidR="00825019">
        <w:t>.</w:t>
      </w:r>
    </w:p>
    <w:p w:rsidR="008D6175" w:rsidRPr="005A5482" w:rsidRDefault="008D6175" w:rsidP="00825019">
      <w:pPr>
        <w:ind w:left="720" w:hanging="720"/>
        <w:rPr>
          <w:b/>
          <w:bCs/>
          <w:smallCaps/>
        </w:rPr>
      </w:pPr>
      <w:r w:rsidRPr="005A5482">
        <w:rPr>
          <w:b/>
          <w:bCs/>
          <w:smallCaps/>
        </w:rPr>
        <w:t>In-text Citation:</w:t>
      </w:r>
    </w:p>
    <w:p w:rsidR="008D6175" w:rsidRDefault="008D6175" w:rsidP="008D6175">
      <w:r>
        <w:t>“PUQ is a pigment for the eye, prepared from silver-glance, sulfur-antimony--the Cohol, yet much esteemed by Arab women, a black</w:t>
      </w:r>
      <w:r w:rsidR="00A34EF5">
        <w:t xml:space="preserve"> powder with a metallic glitter</w:t>
      </w:r>
      <w:r>
        <w:t xml:space="preserve">” (Keil </w:t>
      </w:r>
      <w:r w:rsidR="002217E0">
        <w:t xml:space="preserve"> 117-</w:t>
      </w:r>
      <w:r>
        <w:t>119)</w:t>
      </w:r>
      <w:r w:rsidR="00A34EF5">
        <w:t>.</w:t>
      </w:r>
    </w:p>
    <w:p w:rsidR="008D6175" w:rsidRDefault="008D6175" w:rsidP="008D6175">
      <w:r>
        <w:t>“They served a d</w:t>
      </w:r>
      <w:r w:rsidR="007A03CB">
        <w:t>ivine purpose in that they reveal to anyone who is wise tha</w:t>
      </w:r>
      <w:r>
        <w:t xml:space="preserve">t mere bodily magnitude and </w:t>
      </w:r>
      <w:r w:rsidR="007A03CB">
        <w:t>might have n</w:t>
      </w:r>
      <w:r w:rsidR="00A34EF5">
        <w:t>o more value that bodily beauty</w:t>
      </w:r>
      <w:r w:rsidR="007A03CB">
        <w:t>” (Augustine 125-126)</w:t>
      </w:r>
      <w:r w:rsidR="00A34EF5">
        <w:t>.</w:t>
      </w:r>
    </w:p>
    <w:p w:rsidR="00701125" w:rsidRDefault="00701125" w:rsidP="008D6175">
      <w:r>
        <w:t>“</w:t>
      </w:r>
      <w:r w:rsidRPr="00701125">
        <w:t>Though black outerwear and white shirts are standard for men and long-sleeved and high-necked clothing are typical for women, several groups have subtly distinct clothing for men identifying them as membe</w:t>
      </w:r>
      <w:r w:rsidR="00A34EF5">
        <w:t>rs of a particular Hasidic sect</w:t>
      </w:r>
      <w:r>
        <w:t>” (Hasidic)</w:t>
      </w:r>
      <w:r w:rsidR="00A34EF5">
        <w:t>.</w:t>
      </w:r>
    </w:p>
    <w:p w:rsidR="00701125" w:rsidRDefault="00701125" w:rsidP="008D6175">
      <w:r>
        <w:t>“He had good reason, then, in 1889 to mourn how the ‘malignant prejudice of race’ still ‘poisoned the fountains of justice, and defiled the</w:t>
      </w:r>
      <w:r w:rsidR="00A34EF5">
        <w:t xml:space="preserve"> altars of religion’ in America”</w:t>
      </w:r>
      <w:r>
        <w:t xml:space="preserve"> (Dilbeck 50)</w:t>
      </w:r>
      <w:r w:rsidR="00A34EF5">
        <w:t>.</w:t>
      </w:r>
    </w:p>
    <w:p w:rsidR="00A34EF5" w:rsidRPr="00A34EF5" w:rsidRDefault="00A34EF5" w:rsidP="00A34EF5">
      <w:pPr>
        <w:rPr>
          <w:u w:val="single"/>
        </w:rPr>
      </w:pPr>
      <w:r w:rsidRPr="00A34EF5">
        <w:rPr>
          <w:u w:val="single"/>
        </w:rPr>
        <w:t>For special instructions about punctuation like quotation marks,  see MLA pages 87-90.</w:t>
      </w:r>
    </w:p>
    <w:p w:rsidR="00A34EF5" w:rsidRPr="00A34EF5" w:rsidRDefault="00350088" w:rsidP="008D6175">
      <w:pPr>
        <w:rPr>
          <w:u w:val="single"/>
        </w:rPr>
      </w:pPr>
      <w:r>
        <w:rPr>
          <w:u w:val="single"/>
        </w:rPr>
        <w:t>For block quotation</w:t>
      </w:r>
      <w:r w:rsidR="00EE39CC">
        <w:rPr>
          <w:u w:val="single"/>
        </w:rPr>
        <w:t>s (4 lines or more) see page 55.</w:t>
      </w:r>
    </w:p>
    <w:p w:rsidR="00A84F41" w:rsidRPr="007976FD" w:rsidRDefault="00A84F41" w:rsidP="008D6175">
      <w:pPr>
        <w:rPr>
          <w:i/>
          <w:iCs/>
        </w:rPr>
      </w:pPr>
      <w:r w:rsidRPr="007976FD">
        <w:rPr>
          <w:i/>
          <w:iCs/>
        </w:rPr>
        <w:t>The auth</w:t>
      </w:r>
      <w:r w:rsidR="007976FD">
        <w:rPr>
          <w:i/>
          <w:iCs/>
        </w:rPr>
        <w:t>or’s name may appear in the text of your paper</w:t>
      </w:r>
      <w:r w:rsidRPr="007976FD">
        <w:rPr>
          <w:i/>
          <w:iCs/>
        </w:rPr>
        <w:t>.</w:t>
      </w:r>
    </w:p>
    <w:p w:rsidR="00A84F41" w:rsidRDefault="00AC34BE" w:rsidP="002217E0">
      <w:r>
        <w:t xml:space="preserve">Keil describes the eye paint referred to in Jeremiah 4.30, </w:t>
      </w:r>
      <w:r w:rsidRPr="00AC34BE">
        <w:t>“PUQ is a pigment for the eye, prepared from silver-glance, sulfur-antimony--the Cohol, yet much esteemed by Arab women, a black powder with a metallic glitter.”</w:t>
      </w:r>
      <w:r>
        <w:t xml:space="preserve"> (119)</w:t>
      </w:r>
    </w:p>
    <w:p w:rsidR="00A01A10" w:rsidRDefault="00A01A10" w:rsidP="002217E0">
      <w:r>
        <w:t>Although Douglass was undoubtedly happy with the 13</w:t>
      </w:r>
      <w:r w:rsidRPr="00A01A10">
        <w:rPr>
          <w:vertAlign w:val="superscript"/>
        </w:rPr>
        <w:t>th</w:t>
      </w:r>
      <w:r>
        <w:t xml:space="preserve"> amendment, as Dilbeck put it, </w:t>
      </w:r>
      <w:r w:rsidRPr="00A01A10">
        <w:t xml:space="preserve">“He had good reason, then, in 1889 to mourn how the ‘malignant prejudice of race’ still ‘poisoned the fountains of justice, and defiled the altars of religion’ in America.”  </w:t>
      </w:r>
      <w:r>
        <w:t>(50)</w:t>
      </w:r>
    </w:p>
    <w:p w:rsidR="007976FD" w:rsidRDefault="007976FD" w:rsidP="002217E0">
      <w:r w:rsidRPr="007834EA">
        <w:rPr>
          <w:b/>
          <w:bCs/>
          <w:i/>
          <w:iCs/>
        </w:rPr>
        <w:t>Ohio Web Library will give you citations</w:t>
      </w:r>
      <w:r>
        <w:t>—look for the icon in the faceted “Tools” links to the right side of the page of an article you have cited.  You will need to scroll to the MLA format, but then can eas</w:t>
      </w:r>
      <w:r w:rsidR="00260E44">
        <w:t>ily copy the citation.  You might</w:t>
      </w:r>
      <w:r>
        <w:t xml:space="preserve"> need to edit </w:t>
      </w:r>
      <w:r w:rsidR="00260E44">
        <w:t>it for you paper’s Works Cited p</w:t>
      </w:r>
      <w:r>
        <w:t>age.</w:t>
      </w:r>
    </w:p>
    <w:p w:rsidR="007976FD" w:rsidRPr="007834EA" w:rsidRDefault="007976FD" w:rsidP="002217E0">
      <w:pPr>
        <w:rPr>
          <w:i/>
          <w:iCs/>
        </w:rPr>
      </w:pPr>
      <w:r w:rsidRPr="007834EA">
        <w:rPr>
          <w:i/>
          <w:iCs/>
        </w:rPr>
        <w:t>Pre-edit:</w:t>
      </w:r>
    </w:p>
    <w:p w:rsidR="007976FD" w:rsidRDefault="007976FD" w:rsidP="007976FD">
      <w:r>
        <w:t>MLA</w:t>
      </w:r>
    </w:p>
    <w:p w:rsidR="007976FD" w:rsidRDefault="007976FD" w:rsidP="007976FD">
      <w:r>
        <w:t>(Modern Language Assoc.)</w:t>
      </w:r>
    </w:p>
    <w:p w:rsidR="007976FD" w:rsidRDefault="007976FD" w:rsidP="007976FD">
      <w:r>
        <w:t>Works Cited</w:t>
      </w:r>
    </w:p>
    <w:p w:rsidR="007976FD" w:rsidRDefault="007976FD" w:rsidP="007976FD">
      <w:r>
        <w:t>Chan, Esther and Elaine Howard Ecklund. "Narrating and Navigating Authorities: Evangelical and Mainline Protestant Interpretations of the Bible and Science." Journal for the Scientific Study of Religion, vol. 55, no. 1, Mar. 2016, pp. 54-69. EBSCOhost, doi:10.1111/jssr.12245.</w:t>
      </w:r>
    </w:p>
    <w:p w:rsidR="007976FD" w:rsidRDefault="007976FD" w:rsidP="007976FD">
      <w:r w:rsidRPr="007834EA">
        <w:rPr>
          <w:i/>
          <w:iCs/>
        </w:rPr>
        <w:lastRenderedPageBreak/>
        <w:t>Post-edit</w:t>
      </w:r>
      <w:r w:rsidR="007834EA">
        <w:rPr>
          <w:i/>
          <w:iCs/>
        </w:rPr>
        <w:t xml:space="preserve">: </w:t>
      </w:r>
      <w:r>
        <w:t xml:space="preserve">  (Copy the relevant portion, create a hanging indent.)</w:t>
      </w:r>
    </w:p>
    <w:p w:rsidR="007976FD" w:rsidRPr="009A20D0" w:rsidRDefault="007976FD" w:rsidP="007976FD">
      <w:pPr>
        <w:ind w:left="720" w:hanging="720"/>
      </w:pPr>
      <w:r w:rsidRPr="007976FD">
        <w:t>Chan, Esther and Elaine Howard Ecklund. "Narrating and Navigating Authorities: Evangelical and Mainline Protestant Interpretations of the Bible and Science." Journal for the Scientific Study of Religion, vol. 55, no. 1, Mar. 2016, pp. 54-69. EBSCOhost, doi:10.1111/jssr.12245.</w:t>
      </w:r>
    </w:p>
    <w:sectPr w:rsidR="007976FD" w:rsidRPr="009A2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26A81"/>
    <w:multiLevelType w:val="hybridMultilevel"/>
    <w:tmpl w:val="668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344E9"/>
    <w:multiLevelType w:val="hybridMultilevel"/>
    <w:tmpl w:val="BEA2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51F76"/>
    <w:multiLevelType w:val="hybridMultilevel"/>
    <w:tmpl w:val="64FA4EC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14526"/>
    <w:multiLevelType w:val="hybridMultilevel"/>
    <w:tmpl w:val="4112A1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D0B1E14"/>
    <w:multiLevelType w:val="hybridMultilevel"/>
    <w:tmpl w:val="4E100DC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2"/>
  </w:compat>
  <w:rsids>
    <w:rsidRoot w:val="00BD79FD"/>
    <w:rsid w:val="00046717"/>
    <w:rsid w:val="00110FD5"/>
    <w:rsid w:val="002217E0"/>
    <w:rsid w:val="00260E44"/>
    <w:rsid w:val="002A262E"/>
    <w:rsid w:val="002F4DD9"/>
    <w:rsid w:val="00350088"/>
    <w:rsid w:val="00367759"/>
    <w:rsid w:val="003B7D87"/>
    <w:rsid w:val="004B2798"/>
    <w:rsid w:val="005A5482"/>
    <w:rsid w:val="006908DB"/>
    <w:rsid w:val="006F1031"/>
    <w:rsid w:val="00701125"/>
    <w:rsid w:val="007834EA"/>
    <w:rsid w:val="007976FD"/>
    <w:rsid w:val="007A03CB"/>
    <w:rsid w:val="007A51B4"/>
    <w:rsid w:val="00825019"/>
    <w:rsid w:val="008D6175"/>
    <w:rsid w:val="008D7B00"/>
    <w:rsid w:val="008F1574"/>
    <w:rsid w:val="00926672"/>
    <w:rsid w:val="009A20D0"/>
    <w:rsid w:val="00A01A10"/>
    <w:rsid w:val="00A34EF5"/>
    <w:rsid w:val="00A84F41"/>
    <w:rsid w:val="00AC34BE"/>
    <w:rsid w:val="00BD79FD"/>
    <w:rsid w:val="00C166C6"/>
    <w:rsid w:val="00C92C36"/>
    <w:rsid w:val="00E03D4D"/>
    <w:rsid w:val="00EC0514"/>
    <w:rsid w:val="00EE39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9FD"/>
    <w:pPr>
      <w:ind w:left="720"/>
      <w:contextualSpacing/>
    </w:pPr>
  </w:style>
  <w:style w:type="character" w:styleId="Hyperlink">
    <w:name w:val="Hyperlink"/>
    <w:basedOn w:val="DefaultParagraphFont"/>
    <w:uiPriority w:val="99"/>
    <w:unhideWhenUsed/>
    <w:rsid w:val="009A20D0"/>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jewishlearning.com/article/hasidic-movement-a-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Sairs</dc:creator>
  <cp:lastModifiedBy>Phil Weber</cp:lastModifiedBy>
  <cp:revision>2</cp:revision>
  <dcterms:created xsi:type="dcterms:W3CDTF">2018-09-19T18:45:00Z</dcterms:created>
  <dcterms:modified xsi:type="dcterms:W3CDTF">2018-09-19T18:45:00Z</dcterms:modified>
</cp:coreProperties>
</file>